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480" w:lineRule="exact"/>
        <w:ind w:left="0" w:leftChars="0" w:right="0" w:rightChars="0"/>
        <w:rPr>
          <w:rFonts w:hint="eastAsia" w:ascii="仿宋_GB2312" w:hAnsi="Times New Roman" w:eastAsia="仿宋_GB2312" w:cs="Times New Roman"/>
          <w:b/>
          <w:bCs/>
          <w:sz w:val="28"/>
          <w:szCs w:val="28"/>
        </w:rPr>
      </w:pPr>
      <w:r>
        <w:rPr>
          <w:rFonts w:hint="eastAsia" w:ascii="仿宋_GB2312" w:hAnsi="仿宋_GB2312" w:eastAsia="仿宋_GB2312"/>
          <w:b w:val="0"/>
          <w:bCs w:val="0"/>
          <w:i w:val="0"/>
          <w:snapToGrid/>
          <w:color w:val="333333"/>
          <w:kern w:val="2"/>
          <w:sz w:val="32"/>
          <w:szCs w:val="20"/>
          <w:shd w:val="clear" w:color="auto" w:fill="FFFFFF"/>
          <w:lang w:val="en-US" w:eastAsia="zh-CN" w:bidi="ar-SA"/>
        </w:rPr>
        <w:t>附件</w:t>
      </w:r>
    </w:p>
    <w:p>
      <w:pPr>
        <w:pStyle w:val="2"/>
        <w:keepNext/>
        <w:keepLines/>
        <w:pageBreakBefore w:val="0"/>
        <w:widowControl w:val="0"/>
        <w:kinsoku/>
        <w:wordWrap/>
        <w:overflowPunct/>
        <w:topLinePunct w:val="0"/>
        <w:autoSpaceDE/>
        <w:autoSpaceDN/>
        <w:bidi w:val="0"/>
        <w:adjustRightInd w:val="0"/>
        <w:snapToGrid w:val="0"/>
        <w:spacing w:before="156" w:beforeLines="50" w:beforeAutospacing="0" w:after="0" w:afterLines="0" w:afterAutospacing="0" w:line="360" w:lineRule="auto"/>
        <w:ind w:left="0" w:leftChars="0" w:right="0" w:rightChars="0" w:firstLine="0" w:firstLineChars="0"/>
        <w:jc w:val="center"/>
        <w:textAlignment w:val="auto"/>
        <w:outlineLvl w:val="0"/>
        <w:rPr>
          <w:rFonts w:hint="eastAsia" w:ascii="宋体" w:hAnsi="宋体" w:eastAsia="宋体" w:cs="黑体"/>
          <w:bCs w:val="0"/>
          <w:kern w:val="44"/>
          <w:sz w:val="44"/>
          <w:szCs w:val="32"/>
          <w:lang w:eastAsia="zh-CN"/>
        </w:rPr>
      </w:pPr>
      <w:r>
        <w:rPr>
          <w:rFonts w:hint="eastAsia" w:ascii="宋体" w:hAnsi="宋体" w:eastAsia="宋体" w:cs="黑体"/>
          <w:bCs w:val="0"/>
          <w:kern w:val="44"/>
          <w:sz w:val="44"/>
          <w:szCs w:val="32"/>
        </w:rPr>
        <w:t>202</w:t>
      </w:r>
      <w:r>
        <w:rPr>
          <w:rFonts w:hint="eastAsia" w:eastAsia="宋体" w:cs="黑体"/>
          <w:bCs w:val="0"/>
          <w:kern w:val="44"/>
          <w:sz w:val="44"/>
          <w:szCs w:val="32"/>
          <w:lang w:val="en-US" w:eastAsia="zh-CN"/>
        </w:rPr>
        <w:t>2</w:t>
      </w:r>
      <w:r>
        <w:rPr>
          <w:rFonts w:hint="eastAsia" w:ascii="宋体" w:hAnsi="宋体" w:eastAsia="宋体" w:cs="黑体"/>
          <w:bCs w:val="0"/>
          <w:kern w:val="44"/>
          <w:sz w:val="44"/>
          <w:szCs w:val="32"/>
        </w:rPr>
        <w:t>年广州市文化和旅游产业发展专项资金“数字文化产业项目”</w:t>
      </w:r>
      <w:r>
        <w:rPr>
          <w:rFonts w:hint="eastAsia" w:ascii="宋体" w:hAnsi="宋体" w:eastAsia="宋体" w:cs="黑体"/>
          <w:bCs w:val="0"/>
          <w:kern w:val="44"/>
          <w:sz w:val="44"/>
          <w:szCs w:val="32"/>
          <w:lang w:eastAsia="zh-CN"/>
        </w:rPr>
        <w:t>扶持</w:t>
      </w:r>
      <w:r>
        <w:rPr>
          <w:rFonts w:hint="eastAsia" w:ascii="宋体" w:hAnsi="宋体" w:eastAsia="宋体" w:cs="黑体"/>
          <w:bCs w:val="0"/>
          <w:kern w:val="44"/>
          <w:sz w:val="44"/>
          <w:szCs w:val="32"/>
        </w:rPr>
        <w:t>项目</w:t>
      </w:r>
      <w:r>
        <w:rPr>
          <w:rFonts w:hint="eastAsia" w:ascii="宋体" w:hAnsi="宋体" w:eastAsia="宋体" w:cs="黑体"/>
          <w:bCs w:val="0"/>
          <w:kern w:val="44"/>
          <w:sz w:val="44"/>
          <w:szCs w:val="32"/>
          <w:lang w:eastAsia="zh-CN"/>
        </w:rPr>
        <w:t>名单</w:t>
      </w:r>
    </w:p>
    <w:p>
      <w:pPr>
        <w:pStyle w:val="2"/>
        <w:keepNext/>
        <w:keepLines/>
        <w:widowControl w:val="0"/>
        <w:adjustRightInd w:val="0"/>
        <w:snapToGrid w:val="0"/>
        <w:spacing w:before="156" w:beforeLines="50" w:beforeAutospacing="0" w:after="0" w:afterAutospacing="0" w:line="360" w:lineRule="auto"/>
        <w:ind w:firstLine="643" w:firstLineChars="200"/>
        <w:jc w:val="center"/>
        <w:rPr>
          <w:rFonts w:hint="eastAsia" w:ascii="Times New Roman" w:hAnsi="Times New Roman" w:eastAsia="仿宋_GB2312" w:cs="黑体"/>
          <w:bCs w:val="0"/>
          <w:kern w:val="44"/>
          <w:sz w:val="32"/>
          <w:szCs w:val="32"/>
        </w:rPr>
      </w:pPr>
      <w:bookmarkStart w:id="0" w:name="_Toc15470"/>
      <w:bookmarkStart w:id="1" w:name="_Toc27662194"/>
      <w:r>
        <w:rPr>
          <w:rFonts w:ascii="Times New Roman" w:hAnsi="Times New Roman" w:eastAsia="仿宋_GB2312" w:cs="黑体"/>
          <w:bCs w:val="0"/>
          <w:kern w:val="44"/>
          <w:sz w:val="32"/>
          <w:szCs w:val="32"/>
        </w:rPr>
        <w:t>1.</w:t>
      </w:r>
      <w:bookmarkEnd w:id="0"/>
      <w:bookmarkEnd w:id="1"/>
      <w:r>
        <w:rPr>
          <w:rFonts w:hint="eastAsia" w:ascii="Times New Roman" w:hAnsi="Times New Roman" w:eastAsia="仿宋_GB2312" w:cs="黑体"/>
          <w:bCs w:val="0"/>
          <w:kern w:val="44"/>
          <w:sz w:val="32"/>
          <w:szCs w:val="32"/>
        </w:rPr>
        <w:t>数字文旅新业态专项扶持</w:t>
      </w:r>
    </w:p>
    <w:tbl>
      <w:tblPr>
        <w:tblStyle w:val="7"/>
        <w:tblW w:w="0" w:type="auto"/>
        <w:tblInd w:w="0" w:type="dxa"/>
        <w:tblLayout w:type="fixed"/>
        <w:tblCellMar>
          <w:top w:w="0" w:type="dxa"/>
          <w:left w:w="108" w:type="dxa"/>
          <w:bottom w:w="0" w:type="dxa"/>
          <w:right w:w="108" w:type="dxa"/>
        </w:tblCellMar>
      </w:tblPr>
      <w:tblGrid>
        <w:gridCol w:w="4648"/>
        <w:gridCol w:w="3866"/>
      </w:tblGrid>
      <w:tr>
        <w:trPr>
          <w:trHeight w:val="397" w:hRule="atLeast"/>
          <w:tblHeader/>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hint="eastAsia" w:eastAsia="仿宋"/>
                <w:b/>
                <w:bCs/>
                <w:kern w:val="0"/>
                <w:sz w:val="24"/>
                <w:szCs w:val="24"/>
              </w:rPr>
              <w:t>拟扶持</w:t>
            </w:r>
            <w:r>
              <w:rPr>
                <w:rFonts w:eastAsia="仿宋"/>
                <w:b/>
                <w:bCs/>
                <w:kern w:val="0"/>
                <w:sz w:val="24"/>
                <w:szCs w:val="24"/>
              </w:rPr>
              <w:t>项目名称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eastAsia="仿宋"/>
                <w:b/>
                <w:bCs/>
                <w:kern w:val="0"/>
                <w:sz w:val="24"/>
                <w:szCs w:val="24"/>
              </w:rPr>
              <w:t>申报企业</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基于扩展现实（AR、VR、MR）的历史文化数字化平台建设与推广应用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广州欧科信息技术股份有限公司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“AI区块链+”酒店业供需智能化管理平台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广州喜玩国际旅行社有限公司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金庸武侠融合阅读项目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广州市朗声图书有限公司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智慧旅游数字化内容服务平台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广州三毛信息科技有限公司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基于3D全息互动技术的智慧环保科教产业馆文旅新业态项目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广州市三川田文化科技股份有限公司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超高清多媒体显示终端多场景应用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广州长嘉电子有限公司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文旅消费新业态项目（陌上花开项目）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广东花城文旅创意产业投资有限公司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Z世代文创IP产业化项目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广州探途网络技术有限公司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智能触控互动百变屏研发及其在文化资源智慧展陈方面的应用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广州市岭美文化科技有限公司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网易沉浸式虚拟现实线下新文娱项目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广州博冠信息科技有限公司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艺普汇——云端音乐课堂</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广州木棉花文化艺术有限公司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“龙迹旅行”户外旅游规划平台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广东星越国际旅行社有限公司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面向数字作品消费与演奏场景的系列智能终端研究开发与新业态发展</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广州文石信息科技有限公司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AI音频数字化技术赋能湾区文化融合创新项目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广州荔支网络技术有限公司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《数字国粹》系列项目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广州爱范儿科技股份有限公司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打造数字文化消费新业态——8K裸眼3D高科技文化创意视频与商业融合应用项目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四开花园网络科技（广州）有限公司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AR光影秀数字化应用及产业化</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广州市乐拓电子科技有限公司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基于数字孪生技术的中国故事沉浸式体验平台产业化项目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广州智在云天文化科技有限公司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广州大剧院线上艺术普及栏目“漫游经典”</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广州大剧院管理有限公司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数字智能化演艺灯光设备研发及产业化</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广州市浩洋电子股份有限公司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基于Rtc paas无界实时互动云——声临其境（感）沉浸式声音体验平台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广州无界互动网络科技有限公司</w:t>
            </w:r>
          </w:p>
        </w:tc>
      </w:tr>
      <w:tr>
        <w:trPr>
          <w:trHeight w:val="558"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面向电竞赛事的沉浸式实时语音直播系统研发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广州市百果园网络科技有限公司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基于多元交互技术的数字文创融合平台的建设及应用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广东电声市场营销股份有限公司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VR沉浸式全体感体验平台（全感空间）</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广州市影擎电子科技有限公司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非遗数字文旅研学系统</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广州半夏文化发展有限公司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数字化文化企业服务</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广东文投创工场投资管理有限公司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基于亲子生态农场的乡村振兴文旅产业项目</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广州酷旅旅行社有限公司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主题乐园数字孪生系统</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广州数娱信息科技有限公司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网演中国数字文旅平台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广东网演文旅数字科技有限公司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数字体育竞技园</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广州市新戈顿体育组织经纪服务有限公司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广州罗洞百匠园产业园区</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广东恒富四海实业有限公司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国产化8K超高清视频摄像机的研发及应用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广州博冠光电科技股份有限公司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基于人工智能的歌声合成技术开发及应用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广州酷狗计算机科技有限公司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山水实景数字化场景打造</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
                <w:kern w:val="0"/>
                <w:sz w:val="24"/>
                <w:szCs w:val="24"/>
              </w:rPr>
            </w:pPr>
            <w:r>
              <w:rPr>
                <w:rFonts w:hint="eastAsia" w:ascii="仿宋" w:hAnsi="仿宋" w:eastAsia="仿宋" w:cs="宋体"/>
                <w:kern w:val="0"/>
                <w:sz w:val="24"/>
                <w:szCs w:val="24"/>
              </w:rPr>
              <w:t>广州新起典文旅科技有限公司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文旅新IP创作服务平台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广州悠派振运整合营销策划有限公司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数字文旅AR智慧互动系统</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广州瀚信通信科技股份有限公司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面向地方志领域的文化资源数字化综合平台开发及应用</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广州尚恩科技股份有限公司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易起购“旅游生活+”文旅融合消费平台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广州易起行信息技术有限公司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智慧数字虚拟美术馆云平台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广州市艺维云展科技有限公司</w:t>
            </w:r>
          </w:p>
        </w:tc>
      </w:tr>
      <w:tr>
        <w:trPr>
          <w:trHeight w:val="397" w:hRule="atLeast"/>
        </w:trPr>
        <w:tc>
          <w:tcPr>
            <w:tcW w:w="4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广州文化创意产品“双交”服务平台</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广州华创技术服务有限公司</w:t>
            </w:r>
          </w:p>
        </w:tc>
      </w:tr>
    </w:tbl>
    <w:p>
      <w:pPr>
        <w:rPr>
          <w:rFonts w:hint="eastAsia"/>
        </w:rPr>
      </w:pPr>
      <w:bookmarkStart w:id="2" w:name="_Toc27662195"/>
      <w:bookmarkStart w:id="3" w:name="_Toc14819"/>
    </w:p>
    <w:p>
      <w:pPr>
        <w:pStyle w:val="2"/>
        <w:keepNext/>
        <w:keepLines/>
        <w:widowControl w:val="0"/>
        <w:adjustRightInd w:val="0"/>
        <w:snapToGrid w:val="0"/>
        <w:spacing w:before="156" w:beforeLines="50" w:beforeAutospacing="0" w:after="0" w:afterAutospacing="0" w:line="360" w:lineRule="auto"/>
        <w:ind w:firstLine="643" w:firstLineChars="200"/>
        <w:jc w:val="center"/>
        <w:rPr>
          <w:rFonts w:ascii="Times New Roman" w:hAnsi="Times New Roman" w:eastAsia="仿宋_GB2312" w:cs="黑体"/>
          <w:bCs w:val="0"/>
          <w:kern w:val="44"/>
          <w:sz w:val="32"/>
          <w:szCs w:val="32"/>
        </w:rPr>
      </w:pPr>
      <w:r>
        <w:rPr>
          <w:rFonts w:hint="eastAsia" w:ascii="Times New Roman" w:hAnsi="Times New Roman" w:eastAsia="仿宋_GB2312" w:cs="黑体"/>
          <w:bCs w:val="0"/>
          <w:kern w:val="44"/>
          <w:sz w:val="32"/>
          <w:szCs w:val="32"/>
        </w:rPr>
        <w:t>2.</w:t>
      </w:r>
      <w:bookmarkEnd w:id="2"/>
      <w:r>
        <w:rPr>
          <w:rFonts w:hint="eastAsia" w:ascii="Times New Roman" w:hAnsi="Times New Roman" w:eastAsia="仿宋_GB2312" w:cs="黑体"/>
          <w:bCs w:val="0"/>
          <w:kern w:val="44"/>
          <w:sz w:val="32"/>
          <w:szCs w:val="32"/>
        </w:rPr>
        <w:t>数字文化内容创作专项扶持</w:t>
      </w:r>
      <w:bookmarkEnd w:id="3"/>
    </w:p>
    <w:tbl>
      <w:tblPr>
        <w:tblStyle w:val="7"/>
        <w:tblW w:w="0" w:type="auto"/>
        <w:tblInd w:w="0" w:type="dxa"/>
        <w:tblLayout w:type="fixed"/>
        <w:tblCellMar>
          <w:top w:w="0" w:type="dxa"/>
          <w:left w:w="108" w:type="dxa"/>
          <w:bottom w:w="0" w:type="dxa"/>
          <w:right w:w="108" w:type="dxa"/>
        </w:tblCellMar>
      </w:tblPr>
      <w:tblGrid>
        <w:gridCol w:w="4858"/>
        <w:gridCol w:w="3655"/>
      </w:tblGrid>
      <w:tr>
        <w:trPr>
          <w:trHeight w:val="397" w:hRule="atLeast"/>
          <w:tblHeader/>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hint="eastAsia" w:eastAsia="仿宋"/>
                <w:b/>
                <w:bCs/>
                <w:kern w:val="0"/>
                <w:sz w:val="24"/>
                <w:szCs w:val="24"/>
              </w:rPr>
              <w:t>拟扶持</w:t>
            </w:r>
            <w:r>
              <w:rPr>
                <w:rFonts w:eastAsia="仿宋"/>
                <w:b/>
                <w:bCs/>
                <w:kern w:val="0"/>
                <w:sz w:val="24"/>
                <w:szCs w:val="24"/>
              </w:rPr>
              <w:t>项目名称</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eastAsia="仿宋"/>
                <w:b/>
                <w:bCs/>
                <w:kern w:val="0"/>
                <w:sz w:val="24"/>
                <w:szCs w:val="24"/>
              </w:rPr>
              <w:t>申报企业</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东江纵队原创漫画项目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广州加一游文化科技有限公司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中国共青团建团百年纪念漫画《青春无悔》</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麦萌娱乐文化传媒（广州）有限公司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红色漫画《青春梦》</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广州彼思瀚默文化传播有限公司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《漫画读史记 超有料好有趣》（1-5册）</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广州漫友文化科技发展有限公司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冒险漫画《下南洋》</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华漫文化传播（广州）有限公司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长津湖（漫画）</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广东省易邮文化发展有限公司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《广府文化遗产漫画册》（非遗文旅线路）</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艺伙实业（广州）有限公司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《不得了！文学竟然这么有趣》</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广州一波人创意文化发展有限公司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《天问》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广州布卡文化传播有限公司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《广州食古》动漫绘本</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广州壹安传媒有限公司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《针是硬道理》</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广州港古文化科技有限公司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《羊城传统节日趣谈》动漫绘本</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广州力博企业管理顾问有限公司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数字漫画：航天小队</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广州名动教育咨询有限公司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穗港合作数字漫画《龙城飞将》</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广州云锋文化科技有限公司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《美可玩故事穿梭之旅：中国真强大》漫画图书项目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广州百童教育科技有限公司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《琅华天工录·花城锦》</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广州广江大象文化传媒有限公司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《月圆之后》</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广州天闻角川动漫有限公司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《她的衣帽间是时光机》</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广州悠漫信息科技有限公司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《漫话广州海事》</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广州国漫文化传播有限公司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数字绘画长图</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广州铂曼文化传播有限公司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《广州好运廿四味》绘本制作（含电子版）</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广州瞳创文化传播有限公司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《崔泡泡的科学大冒险》中国篇</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广州创画文化传播有限公司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《明白中医》健康科普漫画项目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《中国家庭医生》杂志社有限公司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《铜头·海洋之心》漫画</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广州博画文化传播有限公司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《爱上我的小可爱》</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广州市大神文化传播有限公司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雄狮少年项目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广州易动文化传播有限公司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超级飞侠文化中华</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广州奥飞文化传播有限公司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《红小豆的日常》</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广州九五年动画有限公司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0"/>
                <w:sz w:val="24"/>
                <w:szCs w:val="24"/>
              </w:rPr>
            </w:pPr>
            <w:r>
              <w:rPr>
                <w:rFonts w:hint="eastAsia" w:ascii="仿宋" w:hAnsi="仿宋" w:eastAsia="仿宋" w:cs="宋体"/>
                <w:kern w:val="0"/>
                <w:sz w:val="24"/>
                <w:szCs w:val="24"/>
              </w:rPr>
              <w:t>《神兽金刚之地球之盾》内容创作扶持</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kern w:val="0"/>
                <w:sz w:val="24"/>
                <w:szCs w:val="24"/>
              </w:rPr>
            </w:pPr>
            <w:r>
              <w:rPr>
                <w:rFonts w:hint="eastAsia" w:ascii="仿宋" w:hAnsi="仿宋" w:eastAsia="仿宋" w:cs="宋体"/>
                <w:kern w:val="0"/>
                <w:sz w:val="24"/>
                <w:szCs w:val="24"/>
              </w:rPr>
              <w:t>广州达力动漫有限公司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《风云变》精品原创动画项目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广州超维互娱科技有限公司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《外星人观察记》动画项目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广州天闻角川动漫有限公司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武双姝（第1季：勇气之章）</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广州更号三文化传播有限公司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《喜羊羊与灰太狼之决战次时代》</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广东原创动力文化传播有限公司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列车超人动漫及产品的研发</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广州灵动创想文化科技有限公司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《小熊读书会》第一季</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恒信东方儿童（广州）文化产业发展有限公司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《奇幻小人国》</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广东闪耀动漫有限公司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《长剑风云》系列动画片</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广州虚拟影业有限公司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开心智趣园爱之旅</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广州市虹猫蓝兔动漫科技有限公司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《小小梦想家七达》</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广州乐艺动漫文化有限公司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《开心超人联盟之机械堡奇遇记》</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 广东明星创意动画有限公司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变形联盟</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广州星梦动漫设计有限公司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《寻梦泡泡岛》</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独角兽（广东）动漫文化有限公司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《古蜀三星传》原创动画</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星鱼影业（广东）有限公司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讲给孩子的革命英雄故事</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广州六一信息科技有限公司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《熊小包》动画微视频项目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广州必燃影视传媒有限公司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《小火车联盟》</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广州胜曦动画设计有限公司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《枫之谷R：经典新定义》原创手机游戏软件项目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广东星辉天拓互动娱乐有限公司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奥比岛：梦想国度</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广州天梯网络科技有限公司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文明与征服</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广州四三九九信息科技有限公司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战斗吧龙魂</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广东趣炫网络股份有限公司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蚁族崛起游戏软件V1.0</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广州君趣网络科技有限公司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“花城+”精品原创游戏</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广州市广播电视台</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盛世芳华手机游戏</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广州火羽信息科技有限公司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原创精品游戏—斗罗大陆：魂师对决</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广州三七极创网络科技有限公司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《这题太难了2城市探索》游戏项目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 广州池骋网络科技有限公司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原创精品游戏--出使西域项目</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广州鹏辰网络科技有限公司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《无尽之境》</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广东闪耀动漫有限公司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儿童心理健康教育（故事剧+绘本丛书）</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 广州天赐文化传播有限公司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原创动漫舞台剧《新三只小猪与大灰狼》</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广州瑜源文化传播有限公司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原创动漫舞台剧《梦想飞行队》</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广州瑜源文化传播有限公司</w:t>
            </w:r>
          </w:p>
        </w:tc>
      </w:tr>
      <w:tr>
        <w:trPr>
          <w:trHeight w:val="397" w:hRule="atLeast"/>
        </w:trPr>
        <w:tc>
          <w:tcPr>
            <w:tcW w:w="4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原创动漫舞台剧《海族总动员》</w:t>
            </w:r>
          </w:p>
        </w:tc>
        <w:tc>
          <w:tcPr>
            <w:tcW w:w="3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 广州市嘿皮匣子文化发展有限公司</w:t>
            </w:r>
          </w:p>
        </w:tc>
      </w:tr>
    </w:tbl>
    <w:p>
      <w:pPr>
        <w:rPr>
          <w:rFonts w:eastAsia="仿宋_GB2312"/>
          <w:szCs w:val="22"/>
        </w:rPr>
      </w:pPr>
    </w:p>
    <w:p>
      <w:pPr>
        <w:rPr>
          <w:rFonts w:eastAsia="仿宋_GB2312"/>
          <w:szCs w:val="22"/>
        </w:rPr>
      </w:pPr>
    </w:p>
    <w:p>
      <w:pPr>
        <w:pStyle w:val="2"/>
        <w:keepNext/>
        <w:keepLines/>
        <w:widowControl w:val="0"/>
        <w:adjustRightInd w:val="0"/>
        <w:snapToGrid w:val="0"/>
        <w:spacing w:before="156" w:beforeLines="50" w:beforeAutospacing="0" w:after="0" w:afterAutospacing="0" w:line="360" w:lineRule="auto"/>
        <w:ind w:firstLine="643" w:firstLineChars="200"/>
        <w:jc w:val="center"/>
        <w:rPr>
          <w:rFonts w:ascii="Times New Roman" w:hAnsi="Times New Roman" w:eastAsia="仿宋_GB2312" w:cs="黑体"/>
          <w:bCs w:val="0"/>
          <w:kern w:val="44"/>
          <w:sz w:val="32"/>
          <w:szCs w:val="32"/>
        </w:rPr>
      </w:pPr>
      <w:bookmarkStart w:id="4" w:name="_Toc27662197"/>
      <w:bookmarkStart w:id="5" w:name="_Toc7324"/>
      <w:r>
        <w:rPr>
          <w:rFonts w:hint="eastAsia" w:ascii="Times New Roman" w:hAnsi="Times New Roman" w:eastAsia="仿宋_GB2312" w:cs="黑体"/>
          <w:bCs w:val="0"/>
          <w:kern w:val="44"/>
          <w:sz w:val="32"/>
          <w:szCs w:val="32"/>
        </w:rPr>
        <w:t>3.</w:t>
      </w:r>
      <w:bookmarkEnd w:id="4"/>
      <w:r>
        <w:rPr>
          <w:rFonts w:hint="eastAsia" w:ascii="Times New Roman" w:hAnsi="Times New Roman" w:eastAsia="仿宋_GB2312" w:cs="黑体"/>
          <w:bCs w:val="0"/>
          <w:kern w:val="44"/>
          <w:sz w:val="32"/>
          <w:szCs w:val="32"/>
        </w:rPr>
        <w:t>数字文创消费产品专项扶持</w:t>
      </w:r>
      <w:bookmarkEnd w:id="5"/>
    </w:p>
    <w:tbl>
      <w:tblPr>
        <w:tblStyle w:val="7"/>
        <w:tblW w:w="0" w:type="auto"/>
        <w:tblInd w:w="0" w:type="dxa"/>
        <w:tblLayout w:type="fixed"/>
        <w:tblCellMar>
          <w:top w:w="0" w:type="dxa"/>
          <w:left w:w="108" w:type="dxa"/>
          <w:bottom w:w="0" w:type="dxa"/>
          <w:right w:w="108" w:type="dxa"/>
        </w:tblCellMar>
      </w:tblPr>
      <w:tblGrid>
        <w:gridCol w:w="4993"/>
        <w:gridCol w:w="3520"/>
      </w:tblGrid>
      <w:tr>
        <w:trPr>
          <w:trHeight w:val="397" w:hRule="atLeast"/>
          <w:tblHeader/>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hint="eastAsia" w:eastAsia="仿宋"/>
                <w:b/>
                <w:bCs/>
                <w:kern w:val="0"/>
                <w:sz w:val="24"/>
                <w:szCs w:val="24"/>
              </w:rPr>
              <w:t>拟扶持</w:t>
            </w:r>
            <w:r>
              <w:rPr>
                <w:rFonts w:eastAsia="仿宋"/>
                <w:b/>
                <w:bCs/>
                <w:kern w:val="0"/>
                <w:sz w:val="24"/>
                <w:szCs w:val="24"/>
              </w:rPr>
              <w:t>项目名称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eastAsia="仿宋"/>
                <w:b/>
                <w:bCs/>
                <w:kern w:val="0"/>
                <w:sz w:val="24"/>
                <w:szCs w:val="24"/>
              </w:rPr>
              <w:t>申报企业</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《对她说》2022电影日历文创产品项目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广州有好戏网络科技有限公司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《画猫·历史宝藏》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广州天闻角川动漫有限公司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《节气鸟·走近中国常见鸟类的24堂课》</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广州天闻角川动漫有限公司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小鹿萌妈&amp;鹿小萌IP《中国少年》系列图书出版</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鹿小萌文化创意（广州）有限公司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绘本《我要去上幼儿园》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广州音童文化传播有限公司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《请吃红小豆吧！》数字文创消费产品-潮流玩具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广州九五年动画有限公司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“竹叶青X水浒”酒香礼盒</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智燊（广东）投资有限公司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虹猫蓝兔授权动漫艺术雕像/可动手办衍生品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广州市虹猫蓝兔动漫科技有限公司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TOP TOY潮玩原创IP创意赋能项目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那是家大潮玩（广东）文化创意有限公司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十二生肖拼装模型系列产品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广州市机甲猪动漫设计有限公司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一藯“四季非遗”礼盒</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广州市拾三食品有限公司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《摩卡》玩具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广州大火鸟文化传媒有限公司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限量设计师玩具Cosplay Clown Bros</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广州凌速展览文化有限公司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“打工猴”潮玩模型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广州彼思瀚默文化传播有限公司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幻境人鱼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广州燃创文化传播有限公司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猪猪侠五灵飞甲系列益智玩具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咏声商贸（广州）有限公司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暹罗猫小豆泥全版权运营</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广州天闻角川动漫有限公司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《金城漫与画》动漫文创产品开发项目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动漫匠（广州）文化科技有限公司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FANTHFUL设计开发运营的数字文创消费产品之怪物猎人：崛起系列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广聚博汇（广州）文化传播有限公司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变形联盟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广州星梦动漫设计有限公司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广州代表性传统文化资产数字化传承与新消费应用——《依然·广州》IP动漫及国潮文创产品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广州古灵文化创意有限公司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“探探猫系列”动漫衍生品设计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广州指幻动漫有限公司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奥特曼相关系列产品的研发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广州灵动创想文化科技有限公司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潮玩《雨衣与小象》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广州云锋文化科技有限公司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《钢铁飞龙3山海神兽录》精品文创消费产品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 xml:space="preserve"> 广州超维互娱科技有限公司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奥飞Q宠潮玩产品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广东奥迪动漫玩具有限公司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《梦幻西游》授权武器模型周边生产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广州市源子文化传播有限公司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盛夏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广州萤火虫动漫文化发展有限公司</w:t>
            </w:r>
          </w:p>
        </w:tc>
      </w:tr>
      <w:tr>
        <w:trPr>
          <w:trHeight w:val="397" w:hRule="atLeast"/>
        </w:trPr>
        <w:tc>
          <w:tcPr>
            <w:tcW w:w="4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QQ+Kakao手办黑金版</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广州百宝箱文化发展有限公司</w:t>
            </w:r>
          </w:p>
        </w:tc>
      </w:tr>
    </w:tbl>
    <w:p>
      <w:pPr>
        <w:rPr>
          <w:rFonts w:hint="eastAsia"/>
        </w:rPr>
      </w:pPr>
      <w:bookmarkStart w:id="6" w:name="_Toc27662198"/>
      <w:bookmarkStart w:id="7" w:name="_Toc27224"/>
    </w:p>
    <w:p>
      <w:pPr>
        <w:pStyle w:val="2"/>
        <w:keepNext/>
        <w:keepLines/>
        <w:widowControl w:val="0"/>
        <w:adjustRightInd w:val="0"/>
        <w:snapToGrid w:val="0"/>
        <w:spacing w:before="156" w:beforeLines="50" w:beforeAutospacing="0" w:after="0" w:afterAutospacing="0" w:line="360" w:lineRule="auto"/>
        <w:jc w:val="center"/>
        <w:rPr>
          <w:rFonts w:ascii="Times New Roman" w:hAnsi="Times New Roman" w:eastAsia="仿宋_GB2312" w:cs="黑体"/>
          <w:bCs w:val="0"/>
          <w:kern w:val="44"/>
          <w:sz w:val="32"/>
          <w:szCs w:val="32"/>
        </w:rPr>
      </w:pPr>
      <w:r>
        <w:rPr>
          <w:rFonts w:ascii="Times New Roman" w:hAnsi="Times New Roman" w:eastAsia="仿宋_GB2312" w:cs="黑体"/>
          <w:bCs w:val="0"/>
          <w:kern w:val="44"/>
          <w:sz w:val="32"/>
          <w:szCs w:val="32"/>
        </w:rPr>
        <w:br w:type="page"/>
      </w:r>
      <w:r>
        <w:rPr>
          <w:rFonts w:hint="eastAsia" w:ascii="Times New Roman" w:hAnsi="Times New Roman" w:eastAsia="仿宋_GB2312" w:cs="黑体"/>
          <w:bCs w:val="0"/>
          <w:kern w:val="44"/>
          <w:sz w:val="32"/>
          <w:szCs w:val="32"/>
        </w:rPr>
        <w:t>4.</w:t>
      </w:r>
      <w:bookmarkEnd w:id="6"/>
      <w:r>
        <w:rPr>
          <w:rFonts w:hint="eastAsia" w:ascii="Times New Roman" w:hAnsi="Times New Roman" w:eastAsia="仿宋_GB2312" w:cs="黑体"/>
          <w:bCs w:val="0"/>
          <w:kern w:val="44"/>
          <w:sz w:val="32"/>
          <w:szCs w:val="32"/>
        </w:rPr>
        <w:t>大型数字文化会展和平台专项扶持</w:t>
      </w:r>
      <w:bookmarkEnd w:id="7"/>
    </w:p>
    <w:tbl>
      <w:tblPr>
        <w:tblStyle w:val="7"/>
        <w:tblW w:w="0" w:type="auto"/>
        <w:tblInd w:w="0" w:type="dxa"/>
        <w:tblLayout w:type="fixed"/>
        <w:tblCellMar>
          <w:top w:w="0" w:type="dxa"/>
          <w:left w:w="108" w:type="dxa"/>
          <w:bottom w:w="0" w:type="dxa"/>
          <w:right w:w="108" w:type="dxa"/>
        </w:tblCellMar>
      </w:tblPr>
      <w:tblGrid>
        <w:gridCol w:w="4768"/>
        <w:gridCol w:w="3743"/>
      </w:tblGrid>
      <w:tr>
        <w:trPr>
          <w:trHeight w:val="397" w:hRule="atLeast"/>
          <w:tblHeader/>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hint="eastAsia" w:eastAsia="仿宋"/>
                <w:b/>
                <w:bCs/>
                <w:kern w:val="0"/>
                <w:sz w:val="24"/>
                <w:szCs w:val="24"/>
              </w:rPr>
              <w:t>拟扶持</w:t>
            </w:r>
            <w:r>
              <w:rPr>
                <w:rFonts w:eastAsia="仿宋"/>
                <w:b/>
                <w:bCs/>
                <w:kern w:val="0"/>
                <w:sz w:val="24"/>
                <w:szCs w:val="24"/>
              </w:rPr>
              <w:t>项目名称</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eastAsia="仿宋"/>
                <w:b/>
                <w:bCs/>
                <w:kern w:val="0"/>
                <w:sz w:val="24"/>
                <w:szCs w:val="24"/>
              </w:rPr>
              <w:t>申报企业</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2021第十四届中国国际漫画节</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广州漫友文化科技发展有限公司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第18届中国动漫金龙奖</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广州漫友文化科技发展有限公司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潮巨匠艺术玩具展</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广州凌速展览文化有限公司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2021第一届蔡志忠漫画奖</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 xml:space="preserve"> 广州国漫文化传播有限公司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2022 FFACG动漫游戏展</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广州萤火虫动漫文化发展有限公司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Co-Creation EXPO</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广州燃创文化传播有限公司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海潮宇宙音乐节</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太德博斯（广州）文化发展有限公司</w:t>
            </w:r>
          </w:p>
        </w:tc>
      </w:tr>
      <w:tr>
        <w:trPr>
          <w:trHeight w:val="397" w:hRule="atLeast"/>
        </w:trPr>
        <w:tc>
          <w:tcPr>
            <w:tcW w:w="4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青葶动漫app项目</w:t>
            </w:r>
          </w:p>
        </w:tc>
        <w:tc>
          <w:tcPr>
            <w:tcW w:w="3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广州市青亭文化发展有限公司</w:t>
            </w:r>
          </w:p>
        </w:tc>
      </w:tr>
    </w:tbl>
    <w:p/>
    <w:p/>
    <w:p>
      <w:pPr>
        <w:rPr>
          <w:rFonts w:hint="eastAsia"/>
        </w:rPr>
      </w:pPr>
    </w:p>
    <w:p>
      <w:pPr>
        <w:pStyle w:val="2"/>
        <w:keepNext/>
        <w:keepLines/>
        <w:widowControl w:val="0"/>
        <w:adjustRightInd w:val="0"/>
        <w:snapToGrid w:val="0"/>
        <w:spacing w:before="156" w:beforeLines="50" w:beforeAutospacing="0" w:after="0" w:afterAutospacing="0" w:line="360" w:lineRule="auto"/>
        <w:ind w:firstLine="643" w:firstLineChars="200"/>
        <w:jc w:val="center"/>
        <w:rPr>
          <w:rFonts w:ascii="Times New Roman" w:hAnsi="Times New Roman" w:eastAsia="仿宋_GB2312" w:cs="黑体"/>
          <w:bCs w:val="0"/>
          <w:kern w:val="44"/>
          <w:sz w:val="32"/>
          <w:szCs w:val="32"/>
        </w:rPr>
      </w:pPr>
      <w:r>
        <w:rPr>
          <w:rFonts w:hint="eastAsia" w:ascii="Times New Roman" w:hAnsi="Times New Roman" w:eastAsia="仿宋_GB2312" w:cs="黑体"/>
          <w:bCs w:val="0"/>
          <w:kern w:val="44"/>
          <w:sz w:val="32"/>
          <w:szCs w:val="32"/>
        </w:rPr>
        <w:t>5</w:t>
      </w:r>
      <w:r>
        <w:rPr>
          <w:rFonts w:ascii="Times New Roman" w:hAnsi="Times New Roman" w:eastAsia="仿宋_GB2312" w:cs="黑体"/>
          <w:bCs w:val="0"/>
          <w:kern w:val="44"/>
          <w:sz w:val="32"/>
          <w:szCs w:val="32"/>
        </w:rPr>
        <w:t>.</w:t>
      </w:r>
      <w:r>
        <w:rPr>
          <w:rFonts w:hint="eastAsia" w:ascii="Times New Roman" w:hAnsi="Times New Roman" w:eastAsia="仿宋_GB2312" w:cs="黑体"/>
          <w:bCs w:val="0"/>
          <w:kern w:val="44"/>
          <w:sz w:val="32"/>
          <w:szCs w:val="32"/>
        </w:rPr>
        <w:t>重要奖项获奖作品专项扶持</w:t>
      </w:r>
    </w:p>
    <w:tbl>
      <w:tblPr>
        <w:tblStyle w:val="7"/>
        <w:tblW w:w="8863" w:type="dxa"/>
        <w:tblInd w:w="0" w:type="dxa"/>
        <w:tblLayout w:type="fixed"/>
        <w:tblCellMar>
          <w:top w:w="0" w:type="dxa"/>
          <w:left w:w="108" w:type="dxa"/>
          <w:bottom w:w="0" w:type="dxa"/>
          <w:right w:w="108" w:type="dxa"/>
        </w:tblCellMar>
      </w:tblPr>
      <w:tblGrid>
        <w:gridCol w:w="5385"/>
        <w:gridCol w:w="3478"/>
      </w:tblGrid>
      <w:tr>
        <w:trPr>
          <w:trHeight w:val="397" w:hRule="atLeast"/>
          <w:tblHeader/>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hint="eastAsia" w:eastAsia="仿宋"/>
                <w:b/>
                <w:bCs/>
                <w:kern w:val="0"/>
                <w:sz w:val="24"/>
                <w:szCs w:val="24"/>
              </w:rPr>
              <w:t>拟扶持</w:t>
            </w:r>
            <w:r>
              <w:rPr>
                <w:rFonts w:eastAsia="仿宋"/>
                <w:b/>
                <w:bCs/>
                <w:kern w:val="0"/>
                <w:sz w:val="24"/>
                <w:szCs w:val="24"/>
              </w:rPr>
              <w:t>项目名称</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b/>
                <w:bCs/>
                <w:kern w:val="0"/>
                <w:sz w:val="24"/>
                <w:szCs w:val="24"/>
              </w:rPr>
            </w:pPr>
            <w:r>
              <w:rPr>
                <w:rFonts w:eastAsia="仿宋"/>
                <w:b/>
                <w:bCs/>
                <w:kern w:val="0"/>
                <w:sz w:val="24"/>
                <w:szCs w:val="24"/>
              </w:rPr>
              <w:t>申报企业</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漫友文化获得中国文化艺术政府奖第四届动漫奖</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广州漫友文化科技发展有限公司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《宿莽志》</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广州布卡文化传播有限公司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飞狗MOCO</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广州艾飞文化传播有限公司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金龙奖最佳剧情作品《沧海英雄》</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华漫文化传播（广州）有限公司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《枕中记》</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广州漫友文化科技发展有限公司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《白蚁》</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 xml:space="preserve"> 广州国漫文化传播有限公司</w:t>
            </w:r>
          </w:p>
        </w:tc>
      </w:tr>
      <w:tr>
        <w:trPr>
          <w:trHeight w:val="397" w:hRule="atLeast"/>
        </w:trPr>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长津湖（漫画）</w:t>
            </w:r>
          </w:p>
        </w:tc>
        <w:tc>
          <w:tcPr>
            <w:tcW w:w="34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仿宋"/>
                <w:kern w:val="0"/>
                <w:sz w:val="24"/>
                <w:szCs w:val="24"/>
              </w:rPr>
            </w:pPr>
            <w:r>
              <w:rPr>
                <w:rFonts w:hint="eastAsia" w:ascii="仿宋" w:hAnsi="仿宋" w:eastAsia="仿宋" w:cs="宋体"/>
                <w:kern w:val="0"/>
                <w:sz w:val="24"/>
                <w:szCs w:val="24"/>
              </w:rPr>
              <w:t>广东省易邮文化发展有限公司</w:t>
            </w:r>
          </w:p>
        </w:tc>
      </w:tr>
    </w:tbl>
    <w:p>
      <w:pPr>
        <w:rPr>
          <w:rFonts w:eastAsia="仿宋_GB2312"/>
          <w:szCs w:val="22"/>
        </w:rPr>
      </w:pPr>
    </w:p>
    <w:p>
      <w:pPr>
        <w:pageBreakBefore w:val="0"/>
        <w:kinsoku/>
        <w:wordWrap/>
        <w:overflowPunct/>
        <w:topLinePunct w:val="0"/>
        <w:autoSpaceDE/>
        <w:autoSpaceDN/>
        <w:bidi w:val="0"/>
        <w:spacing w:line="480" w:lineRule="exact"/>
        <w:ind w:left="0" w:leftChars="0" w:right="0" w:rightChars="0"/>
      </w:pPr>
    </w:p>
    <w:p>
      <w:bookmarkStart w:id="8" w:name="_GoBack"/>
      <w:bookmarkEnd w:id="8"/>
    </w:p>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Light">
    <w:altName w:val="Helvetica Neue"/>
    <w:panose1 w:val="020F0302020204030204"/>
    <w:charset w:val="00"/>
    <w:family w:val="auto"/>
    <w:pitch w:val="default"/>
    <w:sig w:usb0="00000000" w:usb1="00000000" w:usb2="00000000" w:usb3="00000000" w:csb0="2000019F" w:csb1="00000000"/>
  </w:font>
  <w:font w:name="黑体">
    <w:altName w:val="汉仪中黑KW"/>
    <w:panose1 w:val="02010609060101010101"/>
    <w:charset w:val="00"/>
    <w:family w:val="auto"/>
    <w:pitch w:val="default"/>
    <w:sig w:usb0="00000000" w:usb1="00000000" w:usb2="00000016"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BB700"/>
    <w:rsid w:val="D743ABE3"/>
    <w:rsid w:val="DFBBB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2022-05-18T09:32:00Z</dcterms:created>
  <dc:creator>amy</dc:creator>
  <cp:lastModifiedBy>amy</cp:lastModifiedBy>
  <dcterms:modified xsi:type="dcterms:W3CDTF">2022-05-18T09:33:46Z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