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A98C6">
      <w:pPr>
        <w:pStyle w:val="3"/>
        <w:ind w:firstLine="0"/>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w:t>
      </w:r>
    </w:p>
    <w:p w14:paraId="75645F32">
      <w:pPr>
        <w:pStyle w:val="3"/>
        <w:ind w:firstLine="0"/>
        <w:rPr>
          <w:rFonts w:hint="eastAsia" w:ascii="Times New Roman" w:hAnsi="Times New Roman" w:eastAsia="仿宋_GB2312" w:cs="Times New Roman"/>
          <w:sz w:val="32"/>
          <w:szCs w:val="32"/>
          <w:lang w:val="en-US" w:eastAsia="zh-CN"/>
        </w:rPr>
      </w:pPr>
    </w:p>
    <w:p w14:paraId="631F546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广州市文化和旅游产业发展专项资金</w:t>
      </w:r>
    </w:p>
    <w:p w14:paraId="2A34AADE">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w:t>
      </w:r>
      <w:r>
        <w:rPr>
          <w:rFonts w:hint="eastAsia" w:ascii="方正小标宋_GBK" w:hAnsi="方正小标宋_GBK" w:eastAsia="方正小标宋_GBK" w:cs="方正小标宋_GBK"/>
          <w:color w:val="auto"/>
          <w:sz w:val="44"/>
          <w:szCs w:val="44"/>
          <w:lang w:val="en-US" w:eastAsia="zh-CN"/>
        </w:rPr>
        <w:t>博物馆扶持奖励资金</w:t>
      </w:r>
      <w:r>
        <w:rPr>
          <w:rFonts w:hint="eastAsia" w:ascii="方正小标宋_GBK" w:hAnsi="方正小标宋_GBK" w:eastAsia="方正小标宋_GBK" w:cs="方正小标宋_GBK"/>
          <w:color w:val="auto"/>
          <w:sz w:val="44"/>
          <w:szCs w:val="44"/>
        </w:rPr>
        <w:t>”申报指南</w:t>
      </w:r>
    </w:p>
    <w:bookmarkEnd w:id="0"/>
    <w:p w14:paraId="35984349">
      <w:pPr>
        <w:spacing w:beforeLines="0" w:afterLines="0" w:line="570" w:lineRule="exact"/>
        <w:rPr>
          <w:rFonts w:hint="default" w:ascii="Times New Roman" w:hAnsi="Times New Roman" w:eastAsia="仿宋_GB2312" w:cs="Times New Roman"/>
          <w:color w:val="auto"/>
          <w:sz w:val="32"/>
          <w:szCs w:val="32"/>
        </w:rPr>
      </w:pPr>
    </w:p>
    <w:p w14:paraId="2E81CAE6">
      <w:pPr>
        <w:spacing w:beforeLines="0" w:afterLines="0" w:line="57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为推动我市“博物馆之城”建设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加大对非国有博物馆和其他国有博物馆的扶持，</w:t>
      </w:r>
      <w:r>
        <w:rPr>
          <w:rFonts w:hint="default" w:ascii="Times New Roman" w:hAnsi="Times New Roman" w:eastAsia="仿宋_GB2312" w:cs="Times New Roman"/>
          <w:color w:val="auto"/>
          <w:sz w:val="32"/>
          <w:szCs w:val="32"/>
        </w:rPr>
        <w:t>《广州市文化广电旅游局关于印发〈广州市文化和旅游产业发展专项资金管理办法〉的通知》（以下简称《办法》）相关要求，制定本指南：</w:t>
      </w:r>
    </w:p>
    <w:p w14:paraId="676DD492">
      <w:pPr>
        <w:spacing w:beforeLines="0" w:afterLines="0" w:line="57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一、适用范围</w:t>
      </w:r>
    </w:p>
    <w:p w14:paraId="39F46A52">
      <w:pPr>
        <w:spacing w:beforeLines="0" w:afterLines="0" w:line="57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2024年12月31日前，广州市区域内已备案的非国有博物馆和其他国有博物馆（非利用或非主要利用市、区财政性资金设立或运营的博物馆，下同）。 </w:t>
      </w:r>
    </w:p>
    <w:p w14:paraId="5648F97A">
      <w:pPr>
        <w:spacing w:beforeLines="0" w:afterLines="0" w:line="57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二、申报项目</w:t>
      </w:r>
    </w:p>
    <w:p w14:paraId="0E2F3C8A">
      <w:pPr>
        <w:spacing w:beforeLines="0" w:afterLines="0" w:line="570" w:lineRule="exact"/>
        <w:ind w:firstLine="640" w:firstLineChars="200"/>
        <w:rPr>
          <w:rFonts w:hint="default" w:ascii="Times New Roman" w:hAnsi="Times New Roman" w:eastAsia="仿宋_GB2312" w:cs="Times New Roman"/>
          <w:color w:val="auto"/>
          <w:sz w:val="32"/>
          <w:szCs w:val="32"/>
          <w:lang w:eastAsia="zh-CN"/>
        </w:rPr>
      </w:pPr>
      <w:r>
        <w:rPr>
          <w:rFonts w:hint="eastAsia" w:ascii="楷体_GB2312" w:hAnsi="楷体_GB2312" w:eastAsia="楷体_GB2312" w:cs="楷体_GB2312"/>
          <w:color w:val="auto"/>
          <w:sz w:val="32"/>
          <w:szCs w:val="32"/>
          <w:lang w:eastAsia="zh-CN"/>
        </w:rPr>
        <w:t>（一）新建博物馆项目。</w:t>
      </w:r>
      <w:r>
        <w:rPr>
          <w:rFonts w:hint="default" w:ascii="Times New Roman" w:hAnsi="Times New Roman" w:eastAsia="仿宋_GB2312" w:cs="Times New Roman"/>
          <w:color w:val="auto"/>
          <w:sz w:val="32"/>
          <w:szCs w:val="32"/>
          <w:lang w:eastAsia="zh-CN"/>
        </w:rPr>
        <w:t>此项为</w:t>
      </w:r>
      <w:r>
        <w:rPr>
          <w:rFonts w:hint="default" w:ascii="Times New Roman" w:hAnsi="Times New Roman" w:eastAsia="仿宋_GB2312" w:cs="Times New Roman"/>
          <w:color w:val="auto"/>
          <w:sz w:val="32"/>
          <w:szCs w:val="32"/>
          <w:lang w:val="en-US" w:eastAsia="zh-CN"/>
        </w:rPr>
        <w:t>2024年1月1日至</w:t>
      </w:r>
      <w:r>
        <w:rPr>
          <w:rFonts w:hint="default" w:ascii="Times New Roman" w:hAnsi="Times New Roman" w:eastAsia="仿宋_GB2312" w:cs="Times New Roman"/>
          <w:color w:val="auto"/>
          <w:sz w:val="32"/>
          <w:szCs w:val="32"/>
          <w:lang w:eastAsia="zh-CN"/>
        </w:rPr>
        <w:t>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eastAsia="zh-CN"/>
        </w:rPr>
        <w:t>年12月31日</w:t>
      </w:r>
      <w:r>
        <w:rPr>
          <w:rFonts w:hint="default" w:ascii="Times New Roman" w:hAnsi="Times New Roman" w:eastAsia="仿宋_GB2312" w:cs="Times New Roman"/>
          <w:color w:val="auto"/>
          <w:sz w:val="32"/>
          <w:szCs w:val="32"/>
          <w:lang w:val="en-US" w:eastAsia="zh-CN"/>
        </w:rPr>
        <w:t>期间，完成设立备案手续的博物馆，按照规定进行申报。</w:t>
      </w:r>
    </w:p>
    <w:p w14:paraId="31C85EAF">
      <w:pPr>
        <w:spacing w:beforeLines="0" w:afterLines="0" w:line="57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新设立并依法办理登记和备案的非国有博物馆和其他国有博物馆，给予一次性最高不超过</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0万元的补助</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同一博物馆只能享受一次新建补助。</w:t>
      </w:r>
    </w:p>
    <w:p w14:paraId="4BFC5891">
      <w:pPr>
        <w:numPr>
          <w:ilvl w:val="0"/>
          <w:numId w:val="0"/>
        </w:numPr>
        <w:spacing w:beforeLines="0" w:afterLines="0" w:line="570" w:lineRule="exact"/>
        <w:ind w:firstLine="640" w:firstLineChars="200"/>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color w:val="auto"/>
          <w:sz w:val="32"/>
          <w:szCs w:val="32"/>
          <w:lang w:eastAsia="zh-CN"/>
        </w:rPr>
        <w:t>（二）扩建博物馆项目。</w:t>
      </w:r>
      <w:r>
        <w:rPr>
          <w:rFonts w:hint="default" w:ascii="Times New Roman" w:hAnsi="Times New Roman" w:eastAsia="仿宋_GB2312" w:cs="Times New Roman"/>
          <w:color w:val="auto"/>
          <w:sz w:val="32"/>
          <w:szCs w:val="32"/>
          <w:lang w:eastAsia="zh-CN"/>
        </w:rPr>
        <w:t>此项为</w:t>
      </w:r>
      <w:r>
        <w:rPr>
          <w:rFonts w:hint="default" w:ascii="Times New Roman" w:hAnsi="Times New Roman" w:eastAsia="仿宋_GB2312" w:cs="Times New Roman"/>
          <w:color w:val="auto"/>
          <w:sz w:val="32"/>
          <w:szCs w:val="32"/>
          <w:lang w:val="en-US" w:eastAsia="zh-CN"/>
        </w:rPr>
        <w:t>2024年1月1日至</w:t>
      </w:r>
      <w:r>
        <w:rPr>
          <w:rFonts w:hint="default" w:ascii="Times New Roman" w:hAnsi="Times New Roman" w:eastAsia="仿宋_GB2312" w:cs="Times New Roman"/>
          <w:color w:val="auto"/>
          <w:sz w:val="32"/>
          <w:szCs w:val="32"/>
          <w:lang w:eastAsia="zh-CN"/>
        </w:rPr>
        <w:t>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eastAsia="zh-CN"/>
        </w:rPr>
        <w:t>年12月31日期间</w:t>
      </w:r>
      <w:r>
        <w:rPr>
          <w:rFonts w:hint="default" w:ascii="Times New Roman" w:hAnsi="Times New Roman" w:eastAsia="仿宋_GB2312" w:cs="Times New Roman"/>
          <w:color w:val="auto"/>
          <w:sz w:val="32"/>
          <w:szCs w:val="32"/>
          <w:lang w:val="en-US" w:eastAsia="zh-CN"/>
        </w:rPr>
        <w:t>完成扩建项目并投入使用的博物馆，按照规定进行申报（以新增展厅正式投入使用的时间为节点）</w:t>
      </w:r>
      <w:r>
        <w:rPr>
          <w:rFonts w:hint="default" w:ascii="Times New Roman" w:hAnsi="Times New Roman" w:eastAsia="仿宋_GB2312" w:cs="Times New Roman"/>
          <w:color w:val="auto"/>
          <w:sz w:val="32"/>
          <w:szCs w:val="32"/>
          <w:lang w:eastAsia="zh-CN"/>
        </w:rPr>
        <w:t>。</w:t>
      </w:r>
    </w:p>
    <w:p w14:paraId="6CFCC54E">
      <w:pPr>
        <w:numPr>
          <w:ilvl w:val="0"/>
          <w:numId w:val="0"/>
        </w:numPr>
        <w:spacing w:beforeLines="0" w:afterLines="0" w:line="57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非国有博物馆和其他国有博物馆新增展厅面积在300平方米以上（含300平方米）的非国有博物馆和其他国有博物馆，给予一次性最高不超过</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万元的补助，同一博物馆利用同一地块扩建展厅的，只能享受一次扩建补助。</w:t>
      </w:r>
    </w:p>
    <w:p w14:paraId="51FDB257">
      <w:pPr>
        <w:spacing w:beforeLines="0" w:afterLines="0" w:line="570" w:lineRule="exact"/>
        <w:ind w:firstLine="640" w:firstLineChars="200"/>
        <w:rPr>
          <w:rFonts w:hint="default" w:ascii="Times New Roman" w:hAnsi="Times New Roman" w:eastAsia="仿宋_GB2312" w:cs="Times New Roman"/>
          <w:color w:val="auto"/>
          <w:sz w:val="32"/>
          <w:szCs w:val="32"/>
          <w:lang w:eastAsia="zh-CN"/>
        </w:rPr>
      </w:pPr>
      <w:r>
        <w:rPr>
          <w:rFonts w:hint="default" w:ascii="楷体_GB2312" w:hAnsi="楷体_GB2312" w:eastAsia="楷体_GB2312" w:cs="楷体_GB2312"/>
          <w:color w:val="auto"/>
          <w:sz w:val="32"/>
          <w:szCs w:val="32"/>
          <w:lang w:val="en-US" w:eastAsia="zh-CN"/>
        </w:rPr>
        <w:t>（三）运行奖励项目</w:t>
      </w:r>
      <w:r>
        <w:rPr>
          <w:rFonts w:hint="default"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lang w:eastAsia="zh-CN"/>
        </w:rPr>
        <w:t>申报博物馆</w:t>
      </w:r>
      <w:r>
        <w:rPr>
          <w:rFonts w:hint="default"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lang w:eastAsia="zh-CN"/>
        </w:rPr>
        <w:t>年度运行情况。</w:t>
      </w:r>
    </w:p>
    <w:p w14:paraId="0174AB5B">
      <w:pPr>
        <w:spacing w:beforeLines="0" w:afterLines="0" w:line="57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市文物行政主管部门每年根据博物馆运行评估结果和年度工作考核结果，分别对非国有博物馆、其他国有博物馆</w:t>
      </w:r>
      <w:r>
        <w:rPr>
          <w:rFonts w:hint="default"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lang w:eastAsia="zh-CN"/>
        </w:rPr>
        <w:t>年度工作进行综合评定，</w:t>
      </w:r>
      <w:r>
        <w:rPr>
          <w:rFonts w:hint="default" w:ascii="Times New Roman" w:hAnsi="Times New Roman" w:eastAsia="仿宋_GB2312" w:cs="Times New Roman"/>
          <w:color w:val="auto"/>
          <w:sz w:val="32"/>
          <w:szCs w:val="32"/>
          <w:lang w:val="en-US" w:eastAsia="zh-CN"/>
        </w:rPr>
        <w:t>达到合格以上等次的，按优秀、良好、合格分为三个等次</w:t>
      </w:r>
      <w:r>
        <w:rPr>
          <w:rFonts w:hint="default" w:ascii="Times New Roman" w:hAnsi="Times New Roman" w:eastAsia="仿宋_GB2312" w:cs="Times New Roman"/>
          <w:color w:val="auto"/>
          <w:sz w:val="32"/>
          <w:szCs w:val="32"/>
          <w:lang w:eastAsia="zh-CN"/>
        </w:rPr>
        <w:t>，给予最高不超过</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eastAsia="zh-CN"/>
        </w:rPr>
        <w:t>万元奖励。获评以上三个等次的博物馆数量占比原则上分别不超过参评博物馆总数的</w:t>
      </w:r>
      <w:r>
        <w:rPr>
          <w:rFonts w:hint="default" w:ascii="Times New Roman" w:hAnsi="Times New Roman" w:eastAsia="仿宋_GB2312" w:cs="Times New Roman"/>
          <w:color w:val="auto"/>
          <w:sz w:val="32"/>
          <w:szCs w:val="32"/>
          <w:lang w:val="en-US" w:eastAsia="zh-CN"/>
        </w:rPr>
        <w:t>30%、40%、30%。</w:t>
      </w:r>
    </w:p>
    <w:p w14:paraId="2F8CF873">
      <w:pPr>
        <w:spacing w:beforeLines="0" w:afterLines="0" w:line="57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color w:val="auto"/>
          <w:sz w:val="32"/>
          <w:szCs w:val="32"/>
          <w:lang w:val="en-US" w:eastAsia="zh-CN"/>
        </w:rPr>
        <w:t>（四）定级奖励项目</w:t>
      </w:r>
      <w:r>
        <w:rPr>
          <w:rFonts w:hint="default"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lang w:val="en-US" w:eastAsia="zh-CN"/>
        </w:rPr>
        <w:t>2024年度获评国家一级、二级、三级的博物馆。</w:t>
      </w:r>
    </w:p>
    <w:p w14:paraId="066538BF">
      <w:pPr>
        <w:spacing w:beforeLines="0" w:afterLines="0" w:line="57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对获评国家一级、二级、三级的非国有博物馆、“其他国有博物馆”给予最高不超过3万元的定级奖励。</w:t>
      </w:r>
    </w:p>
    <w:p w14:paraId="038C8832">
      <w:pPr>
        <w:spacing w:beforeLines="0" w:afterLines="0" w:line="57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三、申报材料</w:t>
      </w:r>
    </w:p>
    <w:p w14:paraId="2E8B043C">
      <w:pPr>
        <w:keepNext w:val="0"/>
        <w:keepLines w:val="0"/>
        <w:pageBreakBefore w:val="0"/>
        <w:widowControl/>
        <w:kinsoku/>
        <w:wordWrap/>
        <w:overflowPunct/>
        <w:topLinePunct w:val="0"/>
        <w:autoSpaceDE/>
        <w:autoSpaceDN/>
        <w:bidi w:val="0"/>
        <w:adjustRightInd/>
        <w:snapToGrid/>
        <w:spacing w:beforeLines="0" w:afterLines="0" w:line="57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（一）新建博物馆项目</w:t>
      </w:r>
    </w:p>
    <w:p w14:paraId="565D0F4E">
      <w:pPr>
        <w:keepNext w:val="0"/>
        <w:keepLines w:val="0"/>
        <w:pageBreakBefore w:val="0"/>
        <w:widowControl w:val="0"/>
        <w:kinsoku/>
        <w:wordWrap/>
        <w:overflowPunct/>
        <w:topLinePunct w:val="0"/>
        <w:autoSpaceDE/>
        <w:autoSpaceDN/>
        <w:bidi w:val="0"/>
        <w:adjustRightInd/>
        <w:snapToGrid/>
        <w:spacing w:beforeLines="0" w:afterLines="0" w:line="570" w:lineRule="exac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ADDIN CNKISM.UserStyle</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t>广州市文化和旅游产业发展专项资金申报表》</w:t>
      </w:r>
      <w:r>
        <w:rPr>
          <w:rFonts w:hint="default" w:ascii="Times New Roman" w:hAnsi="Times New Roman" w:eastAsia="仿宋_GB2312" w:cs="Times New Roman"/>
          <w:color w:val="auto"/>
          <w:sz w:val="32"/>
          <w:szCs w:val="32"/>
          <w:lang w:eastAsia="zh-CN"/>
        </w:rPr>
        <w:t>；</w:t>
      </w:r>
    </w:p>
    <w:p w14:paraId="7D8F96F3">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.博物馆设立批准或备案文件、民办非企业单位法人登记证书或事业单位法人证书（复印件）</w:t>
      </w:r>
      <w:r>
        <w:rPr>
          <w:rFonts w:hint="default" w:ascii="Times New Roman" w:hAnsi="Times New Roman" w:eastAsia="仿宋_GB2312" w:cs="Times New Roman"/>
          <w:color w:val="auto"/>
          <w:sz w:val="32"/>
          <w:szCs w:val="32"/>
          <w:lang w:eastAsia="zh-CN"/>
        </w:rPr>
        <w:t>；</w:t>
      </w:r>
    </w:p>
    <w:p w14:paraId="7452F40B">
      <w:pPr>
        <w:keepNext w:val="0"/>
        <w:keepLines w:val="0"/>
        <w:pageBreakBefore w:val="0"/>
        <w:widowControl w:val="0"/>
        <w:kinsoku/>
        <w:wordWrap/>
        <w:overflowPunct/>
        <w:topLinePunct w:val="0"/>
        <w:autoSpaceDE/>
        <w:autoSpaceDN/>
        <w:bidi w:val="0"/>
        <w:adjustRightInd/>
        <w:snapToGrid/>
        <w:spacing w:beforeLines="0" w:afterLines="0" w:line="57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.馆舍所有权或使用权证明：租赁馆舍的，应提交有效的《房屋租赁登记备案证明》，租期不得少于5年；由举办者或他人无偿提供使用的，应由所有者提供场地无偿使用证明；</w:t>
      </w:r>
    </w:p>
    <w:p w14:paraId="3BDD853E">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.博物馆和展厅总平面图、局部平面图（或平面示意图），标注博物馆展示区域范围以及其他功能区域（申报新建博物馆项目，需表明展厅面积）；</w:t>
      </w:r>
    </w:p>
    <w:p w14:paraId="6D20F335">
      <w:pPr>
        <w:keepNext w:val="0"/>
        <w:keepLines w:val="0"/>
        <w:pageBreakBefore w:val="0"/>
        <w:widowControl w:val="0"/>
        <w:kinsoku/>
        <w:wordWrap/>
        <w:overflowPunct/>
        <w:topLinePunct w:val="0"/>
        <w:autoSpaceDE/>
        <w:autoSpaceDN/>
        <w:bidi w:val="0"/>
        <w:adjustRightInd/>
        <w:snapToGrid/>
        <w:spacing w:beforeLines="0" w:afterLines="0" w:line="57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.博物馆藏品清单，其中文物类藏品需提供广东省文物鉴定委员会3名以上委员出具的鉴定意见（藏品属于古生物化石的，应当依据有关古生物化石保护法律法规提供相应的鉴定意见）；</w:t>
      </w:r>
    </w:p>
    <w:p w14:paraId="0E1AEC3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非国有博物馆所在区文物行政主管部门审核意见并盖章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其他国有博物馆上级主管单位审核意见并盖章。</w:t>
      </w:r>
    </w:p>
    <w:p w14:paraId="3EB4B07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color w:val="auto"/>
          <w:sz w:val="32"/>
          <w:szCs w:val="32"/>
          <w:lang w:val="en-US" w:eastAsia="zh-CN"/>
        </w:rPr>
        <w:t>（二）扩建博物馆项目，在第（一）条基础上增加提供以下材料</w:t>
      </w:r>
      <w:r>
        <w:rPr>
          <w:rFonts w:hint="default" w:ascii="Times New Roman" w:hAnsi="Times New Roman" w:eastAsia="仿宋_GB2312" w:cs="Times New Roman"/>
          <w:color w:val="auto"/>
          <w:sz w:val="32"/>
          <w:szCs w:val="32"/>
          <w:lang w:val="en-US" w:eastAsia="zh-CN"/>
        </w:rPr>
        <w:t>：</w:t>
      </w:r>
    </w:p>
    <w:p w14:paraId="67F6B600">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1.扩建前的博物馆和展厅总平面图、局部平面图（或平面示意图），标注博物馆展示区域范围和其他功能区域，以及扩建部分面积的平面图以及功能,以便参照对比</w:t>
      </w:r>
      <w:r>
        <w:rPr>
          <w:rFonts w:hint="default" w:ascii="Times New Roman" w:hAnsi="Times New Roman" w:eastAsia="仿宋_GB2312" w:cs="Times New Roman"/>
          <w:color w:val="auto"/>
          <w:sz w:val="32"/>
          <w:szCs w:val="32"/>
          <w:lang w:eastAsia="zh-CN"/>
        </w:rPr>
        <w:t>；</w:t>
      </w:r>
    </w:p>
    <w:p w14:paraId="185A3D0D">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扩建部分的所有权或使用权证明：属于租赁的，应提交有效的《房屋租赁登记备案证明》；属于举办者或他人无偿提供使用的，应由所有者提供场地无偿使用证明，以及租期或无偿使用期限不少于5年的合同（协议）；属于新建或改造的,提供工程项目合同或竣工证明、验收报告、房产证明等；</w:t>
      </w:r>
    </w:p>
    <w:p w14:paraId="1DE54DF5">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3.提供新增藏品清单，提供20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内</w:t>
      </w:r>
      <w:r>
        <w:rPr>
          <w:rFonts w:hint="default" w:ascii="Times New Roman" w:hAnsi="Times New Roman" w:eastAsia="仿宋_GB2312" w:cs="Times New Roman"/>
          <w:color w:val="auto"/>
          <w:sz w:val="32"/>
          <w:szCs w:val="32"/>
        </w:rPr>
        <w:t>，新增符合本馆宗旨、性质的藏品清单，其中文物类藏品需提供广东省文物鉴定委员会3名以上委员出具的鉴定意见（藏品属于古生物化石的，应当依据有关古生物化石保护法律法规提供相应的鉴定意见），以及入藏的藏品档案（复印件）。</w:t>
      </w:r>
    </w:p>
    <w:p w14:paraId="1C639AB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楷体_GB2312" w:hAnsi="楷体_GB2312" w:eastAsia="楷体_GB2312" w:cs="楷体_GB2312"/>
          <w:color w:val="auto"/>
          <w:sz w:val="32"/>
          <w:szCs w:val="32"/>
          <w:lang w:val="en-US" w:eastAsia="zh-CN"/>
        </w:rPr>
        <w:t>（三）运行奖励项目，在第（一）条基础上增加提供以下材料</w:t>
      </w:r>
      <w:r>
        <w:rPr>
          <w:rFonts w:hint="default" w:ascii="Times New Roman" w:hAnsi="Times New Roman" w:eastAsia="仿宋_GB2312" w:cs="Times New Roman"/>
          <w:color w:val="auto"/>
          <w:sz w:val="32"/>
          <w:szCs w:val="32"/>
          <w:lang w:val="en-US" w:eastAsia="zh-CN"/>
        </w:rPr>
        <w:t>：</w:t>
      </w:r>
    </w:p>
    <w:p w14:paraId="763BC295">
      <w:pPr>
        <w:keepNext w:val="0"/>
        <w:keepLines w:val="0"/>
        <w:pageBreakBefore w:val="0"/>
        <w:widowControl w:val="0"/>
        <w:kinsoku/>
        <w:wordWrap/>
        <w:overflowPunct/>
        <w:topLinePunct w:val="0"/>
        <w:autoSpaceDE/>
        <w:autoSpaceDN/>
        <w:bidi w:val="0"/>
        <w:adjustRightInd/>
        <w:snapToGrid/>
        <w:spacing w:beforeLines="0" w:afterLines="0" w:line="57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《广州市非国有博物馆、其他国有博物馆年度考核细则计分表》及相关</w:t>
      </w:r>
      <w:r>
        <w:rPr>
          <w:rFonts w:hint="default" w:ascii="Times New Roman" w:hAnsi="Times New Roman" w:eastAsia="仿宋_GB2312" w:cs="Times New Roman"/>
          <w:color w:val="auto"/>
          <w:sz w:val="32"/>
          <w:szCs w:val="32"/>
          <w:lang w:eastAsia="zh-CN"/>
        </w:rPr>
        <w:t>证明</w:t>
      </w:r>
      <w:r>
        <w:rPr>
          <w:rFonts w:hint="default" w:ascii="Times New Roman" w:hAnsi="Times New Roman" w:eastAsia="仿宋_GB2312" w:cs="Times New Roman"/>
          <w:color w:val="auto"/>
          <w:sz w:val="32"/>
          <w:szCs w:val="32"/>
        </w:rPr>
        <w:t>材料</w:t>
      </w:r>
      <w:r>
        <w:rPr>
          <w:rFonts w:hint="default" w:ascii="Times New Roman" w:hAnsi="Times New Roman" w:eastAsia="仿宋_GB2312" w:cs="Times New Roman"/>
          <w:color w:val="auto"/>
          <w:sz w:val="32"/>
          <w:szCs w:val="32"/>
          <w:lang w:eastAsia="zh-CN"/>
        </w:rPr>
        <w:t>。</w:t>
      </w:r>
    </w:p>
    <w:p w14:paraId="6D4A4BEB">
      <w:pPr>
        <w:spacing w:beforeLines="0" w:afterLines="0" w:line="570" w:lineRule="exac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楷体_GB2312" w:hAnsi="楷体_GB2312" w:eastAsia="楷体_GB2312" w:cs="楷体_GB2312"/>
          <w:color w:val="auto"/>
          <w:sz w:val="32"/>
          <w:szCs w:val="32"/>
          <w:lang w:val="en-US" w:eastAsia="zh-CN"/>
        </w:rPr>
        <w:t>（四）定级奖励项目</w:t>
      </w:r>
    </w:p>
    <w:p w14:paraId="635064EF">
      <w:pPr>
        <w:spacing w:beforeLines="0" w:afterLines="0" w:line="57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ADDIN CNKISM.UserStyle</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t>广州市文化和旅游产业发展专项资金申报表》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国家相关部门的认定文件或证书。</w:t>
      </w:r>
    </w:p>
    <w:p w14:paraId="0E13ADDE">
      <w:pPr>
        <w:tabs>
          <w:tab w:val="left" w:pos="593"/>
        </w:tabs>
        <w:spacing w:beforeLines="0" w:afterLines="0" w:line="57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四、资格条件</w:t>
      </w:r>
    </w:p>
    <w:p w14:paraId="47933EEC">
      <w:pPr>
        <w:spacing w:beforeLines="0" w:afterLines="0" w:line="57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申报博物馆扶持奖励资金的非国有博物馆、“其他国有博物馆”应当同时具备以下条件：</w:t>
      </w:r>
    </w:p>
    <w:p w14:paraId="67A80CC0">
      <w:pPr>
        <w:spacing w:beforeLines="0" w:afterLines="0" w:line="57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1.博物馆经依法登记和备案。</w:t>
      </w:r>
    </w:p>
    <w:p w14:paraId="50664908">
      <w:pPr>
        <w:spacing w:beforeLines="0" w:afterLines="0" w:line="57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2.博物馆运行正常，按时参加博物馆运行评估等业务活动，并取得合格及以上成绩（新设立的博物馆除外）。</w:t>
      </w:r>
    </w:p>
    <w:p w14:paraId="3C23E756">
      <w:pPr>
        <w:spacing w:beforeLines="0" w:afterLines="0" w:line="57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3.博物馆全年参观人数不低于10000人次（新设立的博物馆对设立当年的参观人数不作硬性要求；地理位置较偏僻、交通不便的博物馆可适当放宽要求）。</w:t>
      </w:r>
    </w:p>
    <w:p w14:paraId="3D41BFCA">
      <w:pPr>
        <w:spacing w:beforeLines="0" w:afterLines="0" w:line="57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4.非国有博物馆全年开放时间不少于240天；其他国有博物馆全年开放时间不少于300天（新设立的博物馆需正式对外开放，但对设立当年的开放天数不作硬性要求）。</w:t>
      </w:r>
    </w:p>
    <w:p w14:paraId="5E392D7A">
      <w:pPr>
        <w:spacing w:beforeLines="0" w:afterLines="0" w:line="57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5.确保观众人身安全的设施、制度及应急预案。</w:t>
      </w:r>
    </w:p>
    <w:p w14:paraId="15D25AC5">
      <w:pPr>
        <w:spacing w:beforeLines="0" w:afterLines="0" w:line="57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6.财务制度健全，财务状况良好。</w:t>
      </w:r>
    </w:p>
    <w:p w14:paraId="43E5F66E">
      <w:pPr>
        <w:spacing w:beforeLines="0" w:afterLines="0" w:line="57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7.国家和省、市规定的有关非国有博物馆、其他国有博物馆管理的其他条件。</w:t>
      </w:r>
    </w:p>
    <w:p w14:paraId="3A230E74">
      <w:pPr>
        <w:spacing w:beforeLines="0" w:afterLines="0" w:line="570" w:lineRule="exact"/>
        <w:ind w:firstLine="640"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有下列情形之一的，无申报资格</w:t>
      </w:r>
      <w:r>
        <w:rPr>
          <w:rFonts w:hint="default" w:ascii="Times New Roman" w:hAnsi="Times New Roman" w:eastAsia="仿宋_GB2312" w:cs="Times New Roman"/>
          <w:color w:val="auto"/>
          <w:sz w:val="32"/>
          <w:szCs w:val="32"/>
          <w:lang w:eastAsia="zh-CN"/>
        </w:rPr>
        <w:t>：</w:t>
      </w:r>
    </w:p>
    <w:p w14:paraId="572525F0">
      <w:pPr>
        <w:spacing w:beforeLines="0" w:afterLines="0" w:line="570" w:lineRule="exact"/>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bidi="ar"/>
        </w:rPr>
        <w:t>违反《中华人民共和国文物保护法》《博物馆条例》等法律法规，被行政处罚未满一年的；</w:t>
      </w:r>
    </w:p>
    <w:p w14:paraId="5D5A4F52">
      <w:pPr>
        <w:spacing w:beforeLines="0" w:afterLines="0" w:line="570" w:lineRule="exact"/>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bidi="ar"/>
        </w:rPr>
        <w:t>违反社会组织登记管理法律法规，被行政处罚未满一年或被列入社会组织活动异常名录的；</w:t>
      </w:r>
    </w:p>
    <w:p w14:paraId="362D4C54">
      <w:pPr>
        <w:spacing w:beforeLines="0" w:afterLines="0" w:line="570" w:lineRule="exact"/>
        <w:ind w:firstLine="640" w:firstLineChars="200"/>
        <w:jc w:val="left"/>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bidi="ar"/>
        </w:rPr>
        <w:t>上年度发生观众举报投诉或安全责任事故，造成严重社会影响的</w:t>
      </w:r>
      <w:r>
        <w:rPr>
          <w:rFonts w:hint="default" w:ascii="Times New Roman" w:hAnsi="Times New Roman" w:eastAsia="仿宋_GB2312" w:cs="Times New Roman"/>
          <w:color w:val="auto"/>
          <w:kern w:val="0"/>
          <w:sz w:val="32"/>
          <w:szCs w:val="32"/>
          <w:lang w:eastAsia="zh-CN" w:bidi="ar"/>
        </w:rPr>
        <w:t>。</w:t>
      </w:r>
    </w:p>
    <w:p w14:paraId="244FA0AB">
      <w:pPr>
        <w:spacing w:beforeLines="0" w:afterLines="0" w:line="570" w:lineRule="exact"/>
        <w:ind w:firstLine="640" w:firstLineChars="200"/>
        <w:jc w:val="left"/>
        <w:rPr>
          <w:rFonts w:hint="default" w:ascii="Times New Roman" w:hAnsi="Times New Roman" w:eastAsia="仿宋_GB2312" w:cs="Times New Roman"/>
          <w:color w:val="auto"/>
          <w:kern w:val="0"/>
          <w:sz w:val="32"/>
          <w:szCs w:val="32"/>
          <w:lang w:bidi="ar"/>
        </w:rPr>
      </w:pPr>
      <w:r>
        <w:rPr>
          <w:rFonts w:hint="eastAsia" w:ascii="黑体" w:hAnsi="黑体" w:eastAsia="黑体" w:cs="黑体"/>
          <w:color w:val="auto"/>
          <w:sz w:val="32"/>
          <w:szCs w:val="32"/>
          <w:lang w:val="en-US" w:eastAsia="zh-CN"/>
        </w:rPr>
        <w:t>五、资金监督和管理</w:t>
      </w:r>
      <w:r>
        <w:rPr>
          <w:rFonts w:hint="default" w:ascii="Times New Roman" w:hAnsi="Times New Roman" w:eastAsia="仿宋_GB2312" w:cs="Times New Roman"/>
          <w:color w:val="auto"/>
          <w:kern w:val="0"/>
          <w:sz w:val="32"/>
          <w:szCs w:val="32"/>
          <w:lang w:bidi="ar"/>
        </w:rPr>
        <w:t xml:space="preserve"> </w:t>
      </w:r>
    </w:p>
    <w:p w14:paraId="71EF1A1E">
      <w:pPr>
        <w:spacing w:beforeLines="0" w:afterLines="0" w:line="570" w:lineRule="exact"/>
        <w:ind w:firstLine="64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博物馆扶持资金可用于藏品管理、科学研究、陈列展示、社会教育和公共服务等的相关支出，不得用于支付各种罚款、捐款、赞助、投资等支出，不得用于人员工资福利性支出，不得用于偿还债务，不得用于法律法规、国家规定禁止列入的其它支出。</w:t>
      </w:r>
    </w:p>
    <w:p w14:paraId="2E2C02F8">
      <w:pPr>
        <w:spacing w:beforeLines="0" w:afterLines="0" w:line="570" w:lineRule="exact"/>
        <w:ind w:firstLine="64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kern w:val="0"/>
          <w:sz w:val="32"/>
          <w:szCs w:val="32"/>
          <w:lang w:bidi="ar"/>
        </w:rPr>
        <w:t>市、区文物行政主管部门和财政部门应加强对博物馆扶持资金管理与使用情况的监督检查。</w:t>
      </w:r>
    </w:p>
    <w:p w14:paraId="16D84ADC">
      <w:pPr>
        <w:spacing w:beforeLines="0" w:afterLines="0" w:line="570" w:lineRule="exact"/>
        <w:ind w:firstLine="640"/>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kern w:val="0"/>
          <w:sz w:val="32"/>
          <w:szCs w:val="32"/>
          <w:lang w:bidi="ar"/>
        </w:rPr>
        <w:t>博物馆应当建立健全博物馆扶持资金管理与使用的监督约束机制，做到账目清楚，内容真实，核算准确，确保资金的安全和合理使用。</w:t>
      </w:r>
    </w:p>
    <w:p w14:paraId="113AEDB2">
      <w:pPr>
        <w:spacing w:beforeLines="0" w:afterLines="0" w:line="570" w:lineRule="exact"/>
        <w:ind w:firstLine="640"/>
      </w:pPr>
      <w:r>
        <w:rPr>
          <w:rFonts w:hint="default"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bidi="ar"/>
        </w:rPr>
        <w:t>博物馆扶持资金管理实行责任追究机制。对申报单位在博物馆扶持资金管理与使用过程中存在违法违纪行为的，按照《财政违法行为处罚处分条例》等有关规定依法追究责任。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4F448E-BA7F-440E-838C-08963480F9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4D9B362-FE91-4D0C-9805-412037CEEBA6}"/>
  </w:font>
  <w:font w:name="仿宋_GB2312">
    <w:altName w:val="仿宋"/>
    <w:panose1 w:val="02010609030101010101"/>
    <w:charset w:val="86"/>
    <w:family w:val="modern"/>
    <w:pitch w:val="default"/>
    <w:sig w:usb0="00000000" w:usb1="00000000" w:usb2="00000000" w:usb3="00000000" w:csb0="00040000" w:csb1="00000000"/>
    <w:embedRegular r:id="rId3" w:fontKey="{0A70C025-8155-4CA6-9A4C-EC8F21FA80AF}"/>
  </w:font>
  <w:font w:name="方正小标宋_GBK">
    <w:panose1 w:val="02000000000000000000"/>
    <w:charset w:val="86"/>
    <w:family w:val="auto"/>
    <w:pitch w:val="default"/>
    <w:sig w:usb0="A00002BF" w:usb1="38CF7CFA" w:usb2="00082016" w:usb3="00000000" w:csb0="00040001" w:csb1="00000000"/>
    <w:embedRegular r:id="rId4" w:fontKey="{638D98D8-D21C-4299-BEF7-8B353234517E}"/>
  </w:font>
  <w:font w:name="楷体_GB2312">
    <w:altName w:val="楷体"/>
    <w:panose1 w:val="02010609030101010101"/>
    <w:charset w:val="86"/>
    <w:family w:val="auto"/>
    <w:pitch w:val="default"/>
    <w:sig w:usb0="00000000" w:usb1="00000000" w:usb2="00000000" w:usb3="00000000" w:csb0="00040000" w:csb1="00000000"/>
    <w:embedRegular r:id="rId5" w:fontKey="{B35F2733-2A6E-4F3F-AE2C-C99B2D28A86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B137E"/>
    <w:rsid w:val="3CDB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qFormat/>
    <w:uiPriority w:val="0"/>
    <w:pPr>
      <w:keepNext/>
      <w:keepLines/>
      <w:spacing w:line="576" w:lineRule="exact"/>
      <w:outlineLvl w:val="1"/>
    </w:p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0"/>
    <w:pPr>
      <w:widowControl w:val="0"/>
      <w:spacing w:beforeLines="0" w:afterLines="0"/>
      <w:ind w:firstLine="420"/>
      <w:jc w:val="both"/>
    </w:pPr>
    <w:rPr>
      <w:rFonts w:hint="default"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2025-07-02T01:57:00Z</dcterms:created>
  <dc:creator>Cheny</dc:creator>
  <cp:lastModifiedBy>Cheny</cp:lastModifiedBy>
  <dcterms:modified xsi:type="dcterms:W3CDTF">2025-07-02T02:04:04Z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EE9D6B37A6E94A339D937C01DE9FE3E3_11</vt:lpwstr>
  </property>
  <property fmtid="{D5CDD505-2E9C-101B-9397-08002B2CF9AE}" pid="4" name="KSOTemplateDocerSaveRecord">
    <vt:lpwstr>eyJoZGlkIjoiNWExMjY5OWIxZTI4NjZiNTYwNTQwZmVkMGY2NzA3MGEiLCJ1c2VySWQiOiI1OTc4NzAwNzAifQ==</vt:lpwstr>
  </property>
</Properties>
</file>